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11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149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567"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Zoon Kathryn 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Emergent BioSolutions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567"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47"/>
              <w:spacing w:after="0"/>
              <w:rPr>
                <w:sz w:val="20"/>
                <w:szCs w:val="20"/>
                <w:color w:val="auto"/>
              </w:rPr>
            </w:pPr>
            <w:r>
              <w:rPr>
                <w:rFonts w:ascii="Times New Roman" w:cs="Times New Roman" w:eastAsia="Times New Roman" w:hAnsi="Times New Roman"/>
                <w:sz w:val="17"/>
                <w:szCs w:val="17"/>
                <w:color w:val="0000FF"/>
              </w:rPr>
              <w:t>20879</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5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25,344</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97,143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16,145</w:t>
            </w:r>
            <w:r>
              <w:rPr>
                <w:rFonts w:ascii="Times New Roman" w:cs="Times New Roman" w:eastAsia="Times New Roman" w:hAnsi="Times New Roman"/>
                <w:sz w:val="21"/>
                <w:szCs w:val="21"/>
                <w:color w:val="008000"/>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8.36</w:t>
            </w:r>
            <w:r>
              <w:rPr>
                <w:rFonts w:ascii="Times New Roman" w:cs="Times New Roman" w:eastAsia="Times New Roman" w:hAnsi="Times New Roman"/>
                <w:sz w:val="21"/>
                <w:szCs w:val="21"/>
                <w:color w:val="008000"/>
                <w:w w:val="89"/>
                <w:vertAlign w:val="superscript"/>
              </w:rPr>
              <w:t>(3)</w:t>
            </w: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80,998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05/01/2026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1,057</w:t>
            </w:r>
            <w:r>
              <w:rPr>
                <w:rFonts w:ascii="Times New Roman" w:cs="Times New Roman" w:eastAsia="Times New Roman" w:hAnsi="Times New Roman"/>
                <w:sz w:val="21"/>
                <w:szCs w:val="21"/>
                <w:color w:val="008000"/>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8.97</w:t>
            </w:r>
            <w:r>
              <w:rPr>
                <w:rFonts w:ascii="Times New Roman" w:cs="Times New Roman" w:eastAsia="Times New Roman" w:hAnsi="Times New Roman"/>
                <w:sz w:val="21"/>
                <w:szCs w:val="21"/>
                <w:color w:val="008000"/>
                <w:w w:val="89"/>
                <w:vertAlign w:val="superscript"/>
              </w:rPr>
              <w:t>(4)</w:t>
            </w: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79,941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ind w:right="102"/>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11,296</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04/30/2033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0000FF"/>
                <w:w w:val="98"/>
              </w:rPr>
              <w:t>11,296</w:t>
            </w:r>
            <w:r>
              <w:rPr>
                <w:rFonts w:ascii="Times New Roman" w:cs="Times New Roman" w:eastAsia="Times New Roman" w:hAnsi="Times New Roman"/>
                <w:sz w:val="21"/>
                <w:szCs w:val="21"/>
                <w:color w:val="008000"/>
                <w:w w:val="98"/>
                <w:vertAlign w:val="superscript"/>
              </w:rPr>
              <w:t>(6)</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11,296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p>
      <w:pPr>
        <w:spacing w:after="0" w:line="27"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Shares were sold pursuant to a Rule 10b5-1 trading plan, dated May 16, 2025, for the purpose of satisfying tax obligations relating to the vesting of RSUs on April 29,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$7.77 to</w:t>
      </w:r>
    </w:p>
    <w:p>
      <w:pPr>
        <w:spacing w:after="0" w:line="5" w:lineRule="exact"/>
        <w:rPr>
          <w:sz w:val="24"/>
          <w:szCs w:val="24"/>
          <w:color w:val="auto"/>
        </w:rPr>
      </w:pPr>
    </w:p>
    <w:p>
      <w:pPr>
        <w:ind w:left="40" w:right="340"/>
        <w:spacing w:after="0" w:line="234" w:lineRule="auto"/>
        <w:rPr>
          <w:sz w:val="20"/>
          <w:szCs w:val="20"/>
          <w:color w:val="auto"/>
        </w:rPr>
      </w:pPr>
      <w:r>
        <w:rPr>
          <w:rFonts w:ascii="Times New Roman" w:cs="Times New Roman" w:eastAsia="Times New Roman" w:hAnsi="Times New Roman"/>
          <w:sz w:val="13"/>
          <w:szCs w:val="13"/>
          <w:color w:val="008000"/>
        </w:rPr>
        <w:t>$8.70,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6" w:lineRule="exact"/>
        <w:rPr>
          <w:sz w:val="24"/>
          <w:szCs w:val="24"/>
          <w:color w:val="auto"/>
        </w:rPr>
      </w:pPr>
    </w:p>
    <w:p>
      <w:pPr>
        <w:jc w:val="both"/>
        <w:ind w:left="40" w:right="340"/>
        <w:spacing w:after="0" w:line="238"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$8.79 to $8.99,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options granted was determined by multiplying 25% of the total non-employee director compensation value, and then dividing by the Black-Scholes value of a single option calculated as of the date of the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Richard S. Lindahl,</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5720"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2026-05-04T16:36:08Z</dcterms:created>
  <dcterms:modified xsi:type="dcterms:W3CDTF">2026-05-04T16:36:08Z</dcterms:modified>
</cp:coreProperties>
</file>