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Williams Paul Anthony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300 PROFESSIONAL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11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Emergent BioSolutions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EBS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07/01/2026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SVP, Products Business</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80" w:type="dxa"/>
        <w:tblCellMar>
          <w:top w:w="0" w:type="dxa"/>
          <w:left w:w="0" w:type="dxa"/>
          <w:bottom w:w="0" w:type="dxa"/>
          <w:right w:w="0" w:type="dxa"/>
        </w:tblCellMar>
      </w:tblPr>
      <w:tr>
        <w:trPr>
          <w:trHeight w:val="36"/>
        </w:trPr>
        <w:tc>
          <w:tcPr>
            <w:tcW w:w="40" w:type="dxa"/>
            <w:vAlign w:val="bottom"/>
          </w:tcPr>
          <w:p>
            <w:pPr>
              <w:spacing w:after="0"/>
              <w:rPr>
                <w:sz w:val="3"/>
                <w:szCs w:val="3"/>
                <w:color w:val="auto"/>
              </w:rPr>
            </w:pPr>
          </w:p>
        </w:tc>
        <w:tc>
          <w:tcPr>
            <w:tcW w:w="2100" w:type="dxa"/>
            <w:vAlign w:val="bottom"/>
            <w:tcBorders>
              <w:bottom w:val="single" w:sz="8" w:color="9A9A9A"/>
            </w:tcBorders>
          </w:tcPr>
          <w:p>
            <w:pPr>
              <w:spacing w:after="0"/>
              <w:rPr>
                <w:sz w:val="3"/>
                <w:szCs w:val="3"/>
                <w:color w:val="auto"/>
              </w:rPr>
            </w:pPr>
          </w:p>
        </w:tc>
        <w:tc>
          <w:tcPr>
            <w:tcW w:w="1540" w:type="dxa"/>
            <w:vAlign w:val="bottom"/>
            <w:tcBorders>
              <w:bottom w:val="single" w:sz="8" w:color="9A9A9A"/>
            </w:tcBorders>
          </w:tcPr>
          <w:p>
            <w:pPr>
              <w:spacing w:after="0"/>
              <w:rPr>
                <w:sz w:val="3"/>
                <w:szCs w:val="3"/>
                <w:color w:val="auto"/>
              </w:rPr>
            </w:pPr>
          </w:p>
        </w:tc>
        <w:tc>
          <w:tcPr>
            <w:tcW w:w="3760" w:type="dxa"/>
            <w:vAlign w:val="bottom"/>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21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3760" w:type="dxa"/>
            <w:vAlign w:val="bottom"/>
            <w:vMerge w:val="continue"/>
          </w:tcPr>
          <w:p>
            <w:pPr>
              <w:spacing w:after="0"/>
              <w:rPr>
                <w:sz w:val="8"/>
                <w:szCs w:val="8"/>
                <w:color w:val="auto"/>
              </w:rPr>
            </w:pPr>
          </w:p>
        </w:tc>
        <w:tc>
          <w:tcPr>
            <w:tcW w:w="3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4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7"/>
                <w:szCs w:val="17"/>
                <w:color w:val="0000FF"/>
              </w:rPr>
              <w:t>GAITHERSBURG MD</w:t>
            </w:r>
          </w:p>
        </w:tc>
        <w:tc>
          <w:tcPr>
            <w:tcW w:w="1540" w:type="dxa"/>
            <w:vAlign w:val="bottom"/>
          </w:tcPr>
          <w:p>
            <w:pPr>
              <w:jc w:val="right"/>
              <w:ind w:right="593"/>
              <w:spacing w:after="0"/>
              <w:rPr>
                <w:sz w:val="20"/>
                <w:szCs w:val="20"/>
                <w:color w:val="auto"/>
              </w:rPr>
            </w:pPr>
            <w:r>
              <w:rPr>
                <w:rFonts w:ascii="Times New Roman" w:cs="Times New Roman" w:eastAsia="Times New Roman" w:hAnsi="Times New Roman"/>
                <w:sz w:val="17"/>
                <w:szCs w:val="17"/>
                <w:color w:val="0000FF"/>
              </w:rPr>
              <w:t>20879</w:t>
            </w:r>
          </w:p>
        </w:tc>
        <w:tc>
          <w:tcPr>
            <w:tcW w:w="3760" w:type="dxa"/>
            <w:vAlign w:val="bottom"/>
          </w:tcPr>
          <w:p>
            <w:pPr>
              <w:spacing w:after="0"/>
              <w:rPr>
                <w:sz w:val="20"/>
                <w:szCs w:val="20"/>
                <w:color w:val="auto"/>
              </w:rPr>
            </w:pPr>
          </w:p>
        </w:tc>
        <w:tc>
          <w:tcPr>
            <w:tcW w:w="3280" w:type="dxa"/>
            <w:vAlign w:val="bottom"/>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210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3760" w:type="dxa"/>
            <w:vAlign w:val="bottom"/>
          </w:tcPr>
          <w:p>
            <w:pPr>
              <w:spacing w:after="0"/>
              <w:rPr>
                <w:sz w:val="13"/>
                <w:szCs w:val="13"/>
                <w:color w:val="auto"/>
              </w:rPr>
            </w:pPr>
          </w:p>
        </w:tc>
        <w:tc>
          <w:tcPr>
            <w:tcW w:w="3280" w:type="dxa"/>
            <w:vAlign w:val="bottom"/>
          </w:tcPr>
          <w:p>
            <w:pPr>
              <w:ind w:left="74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3280" w:type="dxa"/>
            <w:vAlign w:val="bottom"/>
          </w:tcPr>
          <w:p>
            <w:pPr>
              <w:ind w:left="740"/>
              <w:spacing w:after="0" w:line="146"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bl>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83"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07/01/2026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3,000</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gridSpan w:val="3"/>
          </w:tcPr>
          <w:p>
            <w:pPr>
              <w:jc w:val="right"/>
              <w:ind w:right="4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8.4</w:t>
            </w:r>
            <w:r>
              <w:rPr>
                <w:rFonts w:ascii="Times New Roman" w:cs="Times New Roman" w:eastAsia="Times New Roman" w:hAnsi="Times New Roman"/>
                <w:sz w:val="22"/>
                <w:szCs w:val="22"/>
                <w:color w:val="008000"/>
                <w:w w:val="96"/>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159,098</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All transactions listed on this Form 4 were made by the Reporting Person pursuant to a trading plan adopted on November 14, 2025 that is intended to comply with Rule 10b5-1(c) under the Securities Exchange Act of 1934, as amended.</w:t>
      </w:r>
    </w:p>
    <w:p>
      <w:pPr>
        <w:spacing w:after="0" w:line="7"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$8.31 to $8.46, inclusive. The Reporting Person undertakes to provide to the Issuer, any security holder of the Issuer, or the staff of the Securities and Exchange Commission, upon request, full information regarding the number of shares sold at each separate price within the range set forth above.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Richard S. Lindahl,</w:t>
            </w:r>
          </w:p>
        </w:tc>
        <w:tc>
          <w:tcPr>
            <w:tcW w:w="50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07/02/2026</w:t>
            </w:r>
          </w:p>
        </w:tc>
        <w:tc>
          <w:tcPr>
            <w:tcW w:w="0" w:type="dxa"/>
            <w:vAlign w:val="bottom"/>
          </w:tcPr>
          <w:p>
            <w:pPr>
              <w:spacing w:after="0"/>
              <w:rPr>
                <w:sz w:val="1"/>
                <w:szCs w:val="1"/>
                <w:color w:val="auto"/>
              </w:rPr>
            </w:pPr>
          </w:p>
        </w:tc>
      </w:tr>
      <w:tr>
        <w:trPr>
          <w:trHeight w:val="87"/>
        </w:trPr>
        <w:tc>
          <w:tcPr>
            <w:tcW w:w="114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4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40" w:type="dxa"/>
            <w:vAlign w:val="bottom"/>
            <w:tcBorders>
              <w:bottom w:val="single" w:sz="8" w:color="auto"/>
            </w:tcBorders>
            <w:vMerge w:val="continue"/>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61994" TargetMode="External"/><Relationship Id="rId14" Type="http://schemas.openxmlformats.org/officeDocument/2006/relationships/hyperlink" Target="http://www.sec.gov/cgi-bin/browse-edgar?action=getcompany&amp;CIK=00013676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2026-07-02T11:58:36Z</dcterms:created>
  <dcterms:modified xsi:type="dcterms:W3CDTF">2026-07-02T11:58:36Z</dcterms:modified>
</cp:coreProperties>
</file>