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Harsanyi Zsolt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Emergent BioSolutions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64"/>
        <w:spacing w:after="0"/>
        <w:rPr>
          <w:sz w:val="20"/>
          <w:szCs w:val="20"/>
          <w:color w:val="auto"/>
        </w:rPr>
      </w:pPr>
      <w:r>
        <w:rPr>
          <w:rFonts w:ascii="Times New Roman" w:cs="Times New Roman" w:eastAsia="Times New Roman" w:hAnsi="Times New Roman"/>
          <w:sz w:val="17"/>
          <w:szCs w:val="17"/>
          <w:color w:val="0000FF"/>
        </w:rPr>
        <w:t>Chairman</w:t>
      </w:r>
    </w:p>
    <w:p>
      <w:pPr>
        <w:spacing w:after="0" w:line="276"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5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180" w:type="dxa"/>
            <w:vAlign w:val="bottom"/>
          </w:tcPr>
          <w:p>
            <w:pPr>
              <w:spacing w:after="0"/>
              <w:rPr>
                <w:sz w:val="3"/>
                <w:szCs w:val="3"/>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80" w:type="dxa"/>
            <w:vAlign w:val="bottom"/>
            <w:gridSpan w:val="8"/>
            <w:vMerge w:val="continue"/>
          </w:tcPr>
          <w:p>
            <w:pPr>
              <w:spacing w:after="0"/>
              <w:rPr>
                <w:sz w:val="9"/>
                <w:szCs w:val="9"/>
                <w:color w:val="auto"/>
              </w:rPr>
            </w:pPr>
          </w:p>
        </w:tc>
        <w:tc>
          <w:tcPr>
            <w:tcW w:w="180" w:type="dxa"/>
            <w:vAlign w:val="bottom"/>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1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20879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04/30/2026</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25,344</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149,076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11,296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04/30/2033</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7"/>
                <w:szCs w:val="17"/>
                <w:color w:val="0000FF"/>
                <w:w w:val="98"/>
              </w:rPr>
              <w:t>11,296</w:t>
            </w:r>
            <w:r>
              <w:rPr>
                <w:rFonts w:ascii="Times New Roman" w:cs="Times New Roman" w:eastAsia="Times New Roman" w:hAnsi="Times New Roman"/>
                <w:sz w:val="21"/>
                <w:szCs w:val="21"/>
                <w:color w:val="008000"/>
                <w:w w:val="98"/>
                <w:vertAlign w:val="superscript"/>
              </w:rPr>
              <w:t>(3)</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11,296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gridSpan w:val="2"/>
          </w:tcPr>
          <w:p>
            <w:pPr>
              <w:ind w:left="14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options granted was determined by multiplying 25% of the total non-employee director compensation value, and then dividing by the Black-Scholes value of a single option calculated as of the date of the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Richard S. Lindahl,</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0184"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2026-05-04T16:35:51Z</dcterms:created>
  <dcterms:modified xsi:type="dcterms:W3CDTF">2026-05-04T16:35:51Z</dcterms:modified>
</cp:coreProperties>
</file>