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June 26, 2026</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EMERGENT BIOSOLUTIONS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240" w:type="dxa"/>
        <w:tblCellMar>
          <w:top w:w="0" w:type="dxa"/>
          <w:left w:w="0" w:type="dxa"/>
          <w:bottom w:w="0" w:type="dxa"/>
          <w:right w:w="0" w:type="dxa"/>
        </w:tblCellMar>
      </w:tblPr>
      <w:tr>
        <w:trPr>
          <w:trHeight w:val="233"/>
        </w:trPr>
        <w:tc>
          <w:tcPr>
            <w:tcW w:w="26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001-33137</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14-1902018</w:t>
            </w:r>
          </w:p>
        </w:tc>
      </w:tr>
      <w:tr>
        <w:trPr>
          <w:trHeight w:val="230"/>
        </w:trPr>
        <w:tc>
          <w:tcPr>
            <w:tcW w:w="2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of incorporation)</w:t>
            </w:r>
          </w:p>
        </w:tc>
        <w:tc>
          <w:tcPr>
            <w:tcW w:w="3620" w:type="dxa"/>
            <w:vAlign w:val="bottom"/>
          </w:tcPr>
          <w:p>
            <w:pPr>
              <w:spacing w:after="0"/>
              <w:rPr>
                <w:sz w:val="20"/>
                <w:szCs w:val="20"/>
                <w:color w:val="auto"/>
              </w:rPr>
            </w:pP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7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300 Professional Drive,</w:t>
      </w:r>
    </w:p>
    <w:p>
      <w:pPr>
        <w:spacing w:after="0" w:line="3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Gaithersburg, Maryland 20879</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(240) 631-3200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8"/>
        <w:spacing w:after="0" w:line="495"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90" w:type="dxa"/>
        <w:tblCellMar>
          <w:top w:w="0" w:type="dxa"/>
          <w:left w:w="0" w:type="dxa"/>
          <w:bottom w:w="0" w:type="dxa"/>
          <w:right w:w="0" w:type="dxa"/>
        </w:tblCellMar>
      </w:tblPr>
      <w:tr>
        <w:trPr>
          <w:trHeight w:val="225"/>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EBS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32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On June 26, 2026 , Emergent BioSolutions Inc. (the “Company,” including its wholly-owned subsidiaries, “Emergent”), through its wholly-owned subsidiary, Emergent Product Development Gaithersburg Inc., received a contract modification from the Office of the Assistant Secretary for Preparedness and Response (“ASPR”), an agency of the U.S. Department of Health and Human Services (“Modification No. 15”), exercising Option Year 7 for Emergent to supply ACAM2000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(Smallpox (Vaccinia) Vaccine, Live) to the U.S. government under Emergent’s existing 10-year contract with ASPR (the “ACAM2000 Contract”). Modification No. 15 is valued at $52.7 million and requires Emergent to deliver doses of ACAM2000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ancillaries as well as diluent replacement lots to the U.S. government in June 2026, and any remaining balance of diluent by December 2026.</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preceding description of Modification 15 does not purport to be complete and is qualified in its entirety by reference to the full text of Modification 15. A copy of Modification 15 is expected to be filed as an exhibit to the Company’s next Quarterly Report on Form 10-Q. The ACAM2000 Contract is filed as a material agreement of Emergent as Exhibit 10.48 with the Company’s Annual Report on Form 10-K for the fiscal year ended December 31,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Modification No. 15. A copy of the press release is furnished as Exhibit 99.1 to this Current Report on Form 8-K and is incorporated by reference herein.</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7"/>
              </w:rPr>
              <w:t>(d) Exhibits.</w:t>
            </w:r>
          </w:p>
        </w:tc>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9520" w:type="dxa"/>
            <w:vAlign w:val="bottom"/>
            <w:gridSpan w:val="3"/>
          </w:tcPr>
          <w:p>
            <w:pPr>
              <w:ind w:left="4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5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96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Emergent BioSolutions Inc. on June 29, 2026</w:t>
            </w:r>
          </w:p>
        </w:tc>
        <w:tc>
          <w:tcPr>
            <w:tcW w:w="4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EMERGENT BIOSOLUTIONS INC.</w:t>
      </w:r>
    </w:p>
    <w:p>
      <w:pPr>
        <w:spacing w:after="0" w:line="256" w:lineRule="exact"/>
        <w:rPr>
          <w:sz w:val="20"/>
          <w:szCs w:val="20"/>
          <w:color w:val="auto"/>
        </w:rPr>
      </w:pPr>
    </w:p>
    <w:p>
      <w:pPr>
        <w:ind w:left="620"/>
        <w:spacing w:after="0"/>
        <w:tabs>
          <w:tab w:leader="none" w:pos="5740" w:val="left"/>
          <w:tab w:leader="none" w:pos="6200" w:val="left"/>
        </w:tabs>
        <w:rPr>
          <w:sz w:val="20"/>
          <w:szCs w:val="20"/>
          <w:color w:val="auto"/>
        </w:rPr>
      </w:pPr>
      <w:r>
        <w:rPr>
          <w:rFonts w:ascii="Times New Roman" w:cs="Times New Roman" w:eastAsia="Times New Roman" w:hAnsi="Times New Roman"/>
          <w:sz w:val="18"/>
          <w:szCs w:val="18"/>
          <w:color w:val="auto"/>
        </w:rPr>
        <w:t>Dated: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82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 Richard S. Lindahl</w:t>
      </w:r>
    </w:p>
    <w:p>
      <w:pPr>
        <w:ind w:left="6220"/>
        <w:spacing w:after="0" w:line="203" w:lineRule="auto"/>
        <w:rPr>
          <w:sz w:val="20"/>
          <w:szCs w:val="20"/>
          <w:color w:val="auto"/>
        </w:rPr>
      </w:pPr>
      <w:r>
        <w:rPr>
          <w:rFonts w:ascii="Times New Roman" w:cs="Times New Roman" w:eastAsia="Times New Roman" w:hAnsi="Times New Roman"/>
          <w:sz w:val="18"/>
          <w:szCs w:val="18"/>
          <w:color w:val="auto"/>
        </w:rPr>
        <w:t>Title: Executive Vice President, Chief Financial</w:t>
      </w:r>
    </w:p>
    <w:p>
      <w:pPr>
        <w:ind w:left="682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4948555</wp:posOffset>
            </wp:positionH>
            <wp:positionV relativeFrom="page">
              <wp:posOffset>526415</wp:posOffset>
            </wp:positionV>
            <wp:extent cx="147447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62560"/>
                    </a:xfrm>
                    <a:prstGeom prst="rect">
                      <a:avLst/>
                    </a:prstGeom>
                    <a:noFill/>
                  </pic:spPr>
                </pic:pic>
              </a:graphicData>
            </a:graphic>
          </wp:anchor>
        </w:drawing>
      </w:r>
    </w:p>
    <w:p>
      <w:pPr>
        <w:ind w:right="1000"/>
        <w:spacing w:after="0" w:line="298" w:lineRule="auto"/>
        <w:rPr>
          <w:sz w:val="20"/>
          <w:szCs w:val="20"/>
          <w:color w:val="auto"/>
        </w:rPr>
      </w:pPr>
      <w:r>
        <w:rPr>
          <w:rFonts w:ascii="Arial" w:cs="Arial" w:eastAsia="Arial" w:hAnsi="Arial"/>
          <w:sz w:val="20"/>
          <w:szCs w:val="20"/>
          <w:b w:val="1"/>
          <w:bCs w:val="1"/>
          <w:color w:val="auto"/>
        </w:rPr>
        <w:t>Emergent BioSolutions Secures Contract Modification Valued at Approximately $52.7 Million for ACAM2000® (Smallpox and Mpox (Vaccinia) Vaccine, Live) from the U.S. Government</w:t>
      </w:r>
    </w:p>
    <w:p>
      <w:pPr>
        <w:spacing w:after="0" w:line="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GAITHERSBURG, Md., June 29, 2026 (GLOBE NEWSWIRE) -- Emergent BioSolutions (NYSE:EBS) today announced it has been awarded a contract modification valued at $52.7 million from the Administration for Strategic Preparedness and Response (ASPR) at the United States Department of Health and Human Services to supply ACAM2000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(Smallpox and Mpox (Vaccinia) Vaccine, Live) vaccine, ancillaries as well as diluent replacement lots for smallpox preparedness and response needs. Deliveries are expected to begin this month.</w:t>
      </w:r>
    </w:p>
    <w:p>
      <w:pPr>
        <w:spacing w:after="0" w:line="12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new contract modification for ACAM2000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underscores the U.S. government’s continued focus on biodefense preparedness and reflects Emergent’s longstanding role to collaborate and help protect civilians and warfighters against potential smallpox and mpox threats,” said Paul Williams, senior vice president, head of products business, global government &amp; public affairs at Emergent. “In this increasingly dangerous world, we are proud to continue supporting the U.S. government as they continue to take critical, proactive steps on biodefense preparedness.”</w:t>
      </w:r>
    </w:p>
    <w:p>
      <w:pPr>
        <w:spacing w:after="0" w:line="128" w:lineRule="exact"/>
        <w:rPr>
          <w:sz w:val="20"/>
          <w:szCs w:val="20"/>
          <w:color w:val="auto"/>
        </w:rPr>
      </w:pPr>
    </w:p>
    <w:p>
      <w:pPr>
        <w:jc w:val="both"/>
        <w:ind w:right="180"/>
        <w:spacing w:after="0" w:line="239" w:lineRule="auto"/>
        <w:rPr>
          <w:sz w:val="20"/>
          <w:szCs w:val="20"/>
          <w:color w:val="auto"/>
        </w:rPr>
      </w:pPr>
      <w:r>
        <w:rPr>
          <w:rFonts w:ascii="Arial" w:cs="Arial" w:eastAsia="Arial" w:hAnsi="Arial"/>
          <w:sz w:val="20"/>
          <w:szCs w:val="20"/>
          <w:color w:val="auto"/>
        </w:rPr>
        <w:t xml:space="preserve">This award follows Emergent’s recent announcements that the Saudi Food and Drug Authority </w:t>
      </w:r>
      <w:r>
        <w:rPr>
          <w:rFonts w:ascii="Arial" w:cs="Arial" w:eastAsia="Arial" w:hAnsi="Arial"/>
          <w:sz w:val="20"/>
          <w:szCs w:val="20"/>
          <w:u w:val="single" w:color="auto"/>
          <w:color w:val="467886"/>
        </w:rPr>
        <w:t>has approved ACAM2000®</w:t>
      </w:r>
      <w:r>
        <w:rPr>
          <w:rFonts w:ascii="Arial" w:cs="Arial" w:eastAsia="Arial" w:hAnsi="Arial"/>
          <w:sz w:val="20"/>
          <w:szCs w:val="20"/>
          <w:color w:val="auto"/>
        </w:rPr>
        <w:t xml:space="preserve"> for immunization against smallpox and mpox in high-risk individuals and that Singapore’s Health Sciences Authority has </w:t>
      </w:r>
      <w:r>
        <w:rPr>
          <w:rFonts w:ascii="Arial" w:cs="Arial" w:eastAsia="Arial" w:hAnsi="Arial"/>
          <w:sz w:val="20"/>
          <w:szCs w:val="20"/>
          <w:u w:val="single" w:color="auto"/>
          <w:color w:val="467886"/>
        </w:rPr>
        <w:t>approved</w:t>
      </w:r>
      <w:r>
        <w:rPr>
          <w:rFonts w:ascii="Arial" w:cs="Arial" w:eastAsia="Arial" w:hAnsi="Arial"/>
          <w:sz w:val="20"/>
          <w:szCs w:val="20"/>
          <w:color w:val="auto"/>
        </w:rPr>
        <w:t xml:space="preserve"> </w:t>
      </w:r>
      <w:r>
        <w:rPr>
          <w:rFonts w:ascii="Arial" w:cs="Arial" w:eastAsia="Arial" w:hAnsi="Arial"/>
          <w:sz w:val="20"/>
          <w:szCs w:val="20"/>
          <w:u w:val="single" w:color="auto"/>
          <w:color w:val="467886"/>
        </w:rPr>
        <w:t>an expanded indication for ACAM2000</w:t>
      </w:r>
      <w:r>
        <w:rPr>
          <w:rFonts w:ascii="Arial" w:cs="Arial" w:eastAsia="Arial" w:hAnsi="Arial"/>
          <w:sz w:val="25"/>
          <w:szCs w:val="25"/>
          <w:u w:val="single" w:color="auto"/>
          <w:color w:val="467886"/>
          <w:vertAlign w:val="superscript"/>
        </w:rPr>
        <w:t>®</w:t>
      </w:r>
      <w:r>
        <w:rPr>
          <w:rFonts w:ascii="Arial" w:cs="Arial" w:eastAsia="Arial" w:hAnsi="Arial"/>
          <w:sz w:val="20"/>
          <w:szCs w:val="20"/>
          <w:color w:val="467886"/>
        </w:rPr>
        <w:t xml:space="preserve"> </w:t>
      </w:r>
      <w:r>
        <w:rPr>
          <w:rFonts w:ascii="Arial" w:cs="Arial" w:eastAsia="Arial" w:hAnsi="Arial"/>
          <w:sz w:val="20"/>
          <w:szCs w:val="20"/>
          <w:color w:val="000000"/>
        </w:rPr>
        <w:t>to include prevention of mpox disease in adults determined to be at high risk for mpox</w:t>
      </w:r>
      <w:r>
        <w:rPr>
          <w:rFonts w:ascii="Arial" w:cs="Arial" w:eastAsia="Arial" w:hAnsi="Arial"/>
          <w:sz w:val="20"/>
          <w:szCs w:val="20"/>
          <w:color w:val="467886"/>
        </w:rPr>
        <w:t xml:space="preserve"> </w:t>
      </w:r>
      <w:r>
        <w:rPr>
          <w:rFonts w:ascii="Arial" w:cs="Arial" w:eastAsia="Arial" w:hAnsi="Arial"/>
          <w:sz w:val="20"/>
          <w:szCs w:val="20"/>
          <w:color w:val="000000"/>
        </w:rPr>
        <w:t>infection.</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Experts consider smallpox to be a credible bioterror threat, with potential health, economic and national security implications due to its mortality rate.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Emergent specializes in developing, manufacturing and delivering medical countermeasures to the U.S. government and allies around the world to support health preparedness and help protect the public from potential threats like smallpox, mpox, Ebola, anthrax and botulism.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This contract modification is under Emergent’s existing 10-year contract (75A50119C00071) with ASPR.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 and Select Important Safety Information for ACAM2000® (Smallpox and Mpox (Vaccinia) Vaccine, Live)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w:t>
      </w:r>
    </w:p>
    <w:p>
      <w:pPr>
        <w:spacing w:after="0" w:line="83" w:lineRule="exact"/>
        <w:rPr>
          <w:sz w:val="20"/>
          <w:szCs w:val="20"/>
          <w:color w:val="auto"/>
        </w:rPr>
      </w:pPr>
    </w:p>
    <w:p>
      <w:pPr>
        <w:ind w:right="180"/>
        <w:spacing w:after="0" w:line="286" w:lineRule="auto"/>
        <w:rPr>
          <w:sz w:val="20"/>
          <w:szCs w:val="20"/>
          <w:color w:val="auto"/>
        </w:rPr>
      </w:pPr>
      <w:r>
        <w:rPr>
          <w:rFonts w:ascii="Arial" w:cs="Arial" w:eastAsia="Arial" w:hAnsi="Arial"/>
          <w:sz w:val="20"/>
          <w:szCs w:val="20"/>
          <w:color w:val="auto"/>
        </w:rPr>
        <w:t>ACAM2000® is indicated for active immunization for the prevention of smallpox and mpox disease in individuals determined to be at high risk for smallpox or mpox infection.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 Serious Complications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Myocarditis and pericarditis (suspect cases observed at a rate of 5.7 per 1000 primary vaccinees (95% CI: 1.9-13.3)), encephalitis, encephalomyelitis, encephalopathy, progressive vaccinia, generalized vaccinia, severe vaccinial skin infections, erythema multiforme major (including STEVENS-JOHNSON SYNDROME), eczema vaccinatum resulting in permanent sequelae or death, accidental eye infection (ocular vaccinia) which can cause ocular complications that may lead to blindness, and fetal death, have occurred following either primary vaccination or revaccination with ACAM2000</w:t>
      </w:r>
      <w:r>
        <w:rPr>
          <w:rFonts w:ascii="Arial" w:cs="Arial" w:eastAsia="Arial" w:hAnsi="Arial"/>
          <w:sz w:val="20"/>
          <w:szCs w:val="20"/>
          <w:b w:val="1"/>
          <w:bCs w:val="1"/>
          <w:color w:val="auto"/>
        </w:rPr>
        <w:t>®</w:t>
      </w:r>
      <w:r>
        <w:rPr>
          <w:rFonts w:ascii="Arial" w:cs="Arial" w:eastAsia="Arial" w:hAnsi="Arial"/>
          <w:sz w:val="20"/>
          <w:szCs w:val="20"/>
          <w:color w:val="auto"/>
        </w:rPr>
        <w:t xml:space="preserve"> or other live vaccinia virus vaccines that were used historically.</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4948555</wp:posOffset>
            </wp:positionH>
            <wp:positionV relativeFrom="page">
              <wp:posOffset>526415</wp:posOffset>
            </wp:positionV>
            <wp:extent cx="147447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62560"/>
                    </a:xfrm>
                    <a:prstGeom prst="rect">
                      <a:avLst/>
                    </a:prstGeom>
                    <a:noFill/>
                  </pic:spPr>
                </pic:pic>
              </a:graphicData>
            </a:graphic>
          </wp:anchor>
        </w:drawing>
        <w:t>Contraindications</w:t>
      </w:r>
    </w:p>
    <w:p>
      <w:pPr>
        <w:spacing w:after="0" w:line="65" w:lineRule="exact"/>
        <w:rPr>
          <w:sz w:val="20"/>
          <w:szCs w:val="20"/>
          <w:color w:val="auto"/>
        </w:rPr>
      </w:pPr>
    </w:p>
    <w:p>
      <w:pPr>
        <w:jc w:val="both"/>
        <w:ind w:right="320"/>
        <w:spacing w:after="0" w:line="301" w:lineRule="auto"/>
        <w:rPr>
          <w:sz w:val="20"/>
          <w:szCs w:val="20"/>
          <w:color w:val="auto"/>
        </w:rPr>
      </w:pPr>
      <w:r>
        <w:rPr>
          <w:rFonts w:ascii="Arial" w:cs="Arial" w:eastAsia="Arial" w:hAnsi="Arial"/>
          <w:sz w:val="19"/>
          <w:szCs w:val="19"/>
          <w:color w:val="auto"/>
        </w:rPr>
        <w:t>Do not administer ACAM2000</w:t>
      </w:r>
      <w:r>
        <w:rPr>
          <w:rFonts w:ascii="Arial" w:cs="Arial" w:eastAsia="Arial" w:hAnsi="Arial"/>
          <w:sz w:val="19"/>
          <w:szCs w:val="19"/>
          <w:b w:val="1"/>
          <w:bCs w:val="1"/>
          <w:color w:val="auto"/>
        </w:rPr>
        <w:t>®</w:t>
      </w:r>
      <w:r>
        <w:rPr>
          <w:rFonts w:ascii="Arial" w:cs="Arial" w:eastAsia="Arial" w:hAnsi="Arial"/>
          <w:sz w:val="19"/>
          <w:szCs w:val="19"/>
          <w:color w:val="auto"/>
        </w:rPr>
        <w:t xml:space="preserve"> to individuals with severe immunodeficiency. These individuals may include persons who are undergoing bone marrow transplantation or persons with primary or acquired immunodeficiency states who require isolation.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Warnings and Precautions</w:t>
      </w:r>
    </w:p>
    <w:p>
      <w:pPr>
        <w:spacing w:after="0" w:line="52"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Serious complications that may follow either primary or revaccination with ACAM2000</w:t>
      </w:r>
      <w:r>
        <w:rPr>
          <w:rFonts w:ascii="Arial" w:cs="Arial" w:eastAsia="Arial" w:hAnsi="Arial"/>
          <w:sz w:val="20"/>
          <w:szCs w:val="20"/>
          <w:b w:val="1"/>
          <w:bCs w:val="1"/>
          <w:color w:val="auto"/>
        </w:rPr>
        <w:t>®</w:t>
      </w:r>
      <w:r>
        <w:rPr>
          <w:rFonts w:ascii="Arial" w:cs="Arial" w:eastAsia="Arial" w:hAnsi="Arial"/>
          <w:sz w:val="20"/>
          <w:szCs w:val="20"/>
          <w:color w:val="auto"/>
        </w:rPr>
        <w:t xml:space="preserve"> include myocarditis and/or pericarditis, ischemic heart disease and non-ischemic dilated cardiomyopathy, encephalitis, encephalomyelitis, encephalopathy, progressive vaccinia (vaccinia necrosum), generalized vaccinia, severe vaccinial skin infections, erythema multiforme major (including Stevens-Johnson syndrome), eczema vaccinatum, fetal vaccinia, fetal death, and accidental eye infection (ocular vaccinia) that may lead to blindness. ACAM2000</w:t>
      </w:r>
      <w:r>
        <w:rPr>
          <w:rFonts w:ascii="Arial" w:cs="Arial" w:eastAsia="Arial" w:hAnsi="Arial"/>
          <w:sz w:val="20"/>
          <w:szCs w:val="20"/>
          <w:b w:val="1"/>
          <w:bCs w:val="1"/>
          <w:color w:val="auto"/>
        </w:rPr>
        <w:t>®</w:t>
      </w:r>
      <w:r>
        <w:rPr>
          <w:rFonts w:ascii="Arial" w:cs="Arial" w:eastAsia="Arial" w:hAnsi="Arial"/>
          <w:sz w:val="20"/>
          <w:szCs w:val="20"/>
          <w:color w:val="auto"/>
        </w:rPr>
        <w:t xml:space="preserve"> is a live vaccinia virus that can be transmitted to persons who have close contact with the vaccinee and the risks in contacts are the same as those stated for vaccinees.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Adverse Reactions</w:t>
      </w:r>
    </w:p>
    <w:p>
      <w:pPr>
        <w:spacing w:after="0" w:line="67"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Common adverse reactions include inoculation site signs and symptoms, lymphadenitis, and constitutional symptoms, such as malaise, fatigue, fever, myalgia, and headache.</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 xml:space="preserve">To report Suspected Adverse Reactions, contact Emergent BioSolutions at 1-877-246-8472 (U.S.), 1-800-768-2304 (Canada), or </w:t>
      </w:r>
      <w:r>
        <w:rPr>
          <w:rFonts w:ascii="Arial" w:cs="Arial" w:eastAsia="Arial" w:hAnsi="Arial"/>
          <w:sz w:val="20"/>
          <w:szCs w:val="20"/>
          <w:u w:val="single" w:color="auto"/>
          <w:color w:val="467886"/>
        </w:rPr>
        <w:t>medicalinformation@ebsi.com</w:t>
      </w:r>
      <w:r>
        <w:rPr>
          <w:rFonts w:ascii="Arial" w:cs="Arial" w:eastAsia="Arial" w:hAnsi="Arial"/>
          <w:sz w:val="20"/>
          <w:szCs w:val="20"/>
          <w:color w:val="auto"/>
        </w:rPr>
        <w:t xml:space="preserve">; or VAERS at 1-800-822-7967 or </w:t>
      </w:r>
      <w:r>
        <w:rPr>
          <w:rFonts w:ascii="Arial" w:cs="Arial" w:eastAsia="Arial" w:hAnsi="Arial"/>
          <w:sz w:val="20"/>
          <w:szCs w:val="20"/>
          <w:u w:val="single" w:color="auto"/>
          <w:color w:val="467886"/>
        </w:rPr>
        <w:t>https://vaers.hhs.gov</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-49530</wp:posOffset>
            </wp:positionV>
            <wp:extent cx="34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Please see the </w:t>
      </w:r>
      <w:r>
        <w:rPr>
          <w:rFonts w:ascii="Arial" w:cs="Arial" w:eastAsia="Arial" w:hAnsi="Arial"/>
          <w:sz w:val="20"/>
          <w:szCs w:val="20"/>
          <w:u w:val="single" w:color="auto"/>
          <w:color w:val="467886"/>
        </w:rPr>
        <w:t>full Prescribing Information</w:t>
      </w:r>
      <w:r>
        <w:rPr>
          <w:rFonts w:ascii="Arial" w:cs="Arial" w:eastAsia="Arial" w:hAnsi="Arial"/>
          <w:sz w:val="20"/>
          <w:szCs w:val="20"/>
          <w:color w:val="auto"/>
        </w:rPr>
        <w:t xml:space="preserve"> for ACAM2000</w:t>
      </w:r>
      <w:r>
        <w:rPr>
          <w:rFonts w:ascii="Arial" w:cs="Arial" w:eastAsia="Arial" w:hAnsi="Arial"/>
          <w:sz w:val="20"/>
          <w:szCs w:val="20"/>
          <w:b w:val="1"/>
          <w:bCs w:val="1"/>
          <w:color w:val="auto"/>
        </w:rPr>
        <w:t>®</w:t>
      </w:r>
      <w:r>
        <w:rPr>
          <w:rFonts w:ascii="Arial" w:cs="Arial" w:eastAsia="Arial" w:hAnsi="Arial"/>
          <w:sz w:val="20"/>
          <w:szCs w:val="20"/>
          <w:color w:val="auto"/>
        </w:rPr>
        <w:t xml:space="preserve"> for complete Boxed Warning and safety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-10160</wp:posOffset>
            </wp:positionV>
            <wp:extent cx="34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55"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 xml:space="preserve">About Emergent BioSolutions </w:t>
      </w:r>
      <w:r>
        <w:rPr>
          <w:rFonts w:ascii="Arial" w:cs="Arial" w:eastAsia="Arial" w:hAnsi="Arial"/>
          <w:sz w:val="20"/>
          <w:szCs w:val="20"/>
          <w:color w:val="auto"/>
        </w:rPr>
        <w:t>At Emergent, our mission is to protect and save lives. For over 25 years, we’ve been at work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preparing those entrusted with protecting public health. We deliver protective and life-saving solutions for health threats like smallpox, mpox, botulism, Ebola, anthrax and opioid overdose emergencies. To learn more about how we help prepare communities around the world for today’s health challenges and tomorrow’s threats, visit our </w:t>
      </w:r>
      <w:r>
        <w:rPr>
          <w:rFonts w:ascii="Arial" w:cs="Arial" w:eastAsia="Arial" w:hAnsi="Arial"/>
          <w:sz w:val="20"/>
          <w:szCs w:val="20"/>
          <w:u w:val="single" w:color="auto"/>
          <w:color w:val="467886"/>
        </w:rPr>
        <w:t>website</w:t>
      </w:r>
      <w:r>
        <w:rPr>
          <w:rFonts w:ascii="Arial" w:cs="Arial" w:eastAsia="Arial" w:hAnsi="Arial"/>
          <w:sz w:val="20"/>
          <w:szCs w:val="20"/>
          <w:color w:val="auto"/>
        </w:rPr>
        <w:t xml:space="preserve"> and follow us on </w:t>
      </w:r>
      <w:r>
        <w:rPr>
          <w:rFonts w:ascii="Arial" w:cs="Arial" w:eastAsia="Arial" w:hAnsi="Arial"/>
          <w:sz w:val="20"/>
          <w:szCs w:val="20"/>
          <w:u w:val="single" w:color="auto"/>
          <w:color w:val="467886"/>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467886"/>
        </w:rPr>
        <w:t>X</w:t>
      </w:r>
      <w:r>
        <w:rPr>
          <w:rFonts w:ascii="Arial" w:cs="Arial" w:eastAsia="Arial" w:hAnsi="Arial"/>
          <w:sz w:val="20"/>
          <w:szCs w:val="20"/>
          <w:color w:val="000000"/>
        </w:rPr>
        <w:t>,</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Instagram</w:t>
      </w:r>
      <w:r>
        <w:rPr>
          <w:rFonts w:ascii="Arial" w:cs="Arial" w:eastAsia="Arial" w:hAnsi="Arial"/>
          <w:sz w:val="20"/>
          <w:szCs w:val="20"/>
          <w:color w:val="000000"/>
        </w:rPr>
        <w:t>,</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Apple Podcasts</w:t>
      </w:r>
      <w:r>
        <w:rPr>
          <w:rFonts w:ascii="Arial" w:cs="Arial" w:eastAsia="Arial" w:hAnsi="Arial"/>
          <w:sz w:val="20"/>
          <w:szCs w:val="20"/>
          <w:color w:val="467886"/>
        </w:rPr>
        <w:t xml:space="preserve"> </w:t>
      </w:r>
      <w:r>
        <w:rPr>
          <w:rFonts w:ascii="Arial" w:cs="Arial" w:eastAsia="Arial" w:hAnsi="Arial"/>
          <w:sz w:val="20"/>
          <w:szCs w:val="20"/>
          <w:color w:val="000000"/>
        </w:rPr>
        <w:t>and</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Spotify</w:t>
      </w:r>
      <w:r>
        <w:rPr>
          <w:rFonts w:ascii="Arial" w:cs="Arial" w:eastAsia="Arial" w:hAnsi="Arial"/>
          <w:sz w:val="20"/>
          <w:szCs w:val="20"/>
          <w:color w:val="000000"/>
        </w:rPr>
        <w:t>.</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auto"/>
        </w:rPr>
        <w:t xml:space="preserve">Safe Harbor Statement </w:t>
      </w:r>
      <w:r>
        <w:rPr>
          <w:rFonts w:ascii="Arial" w:cs="Arial" w:eastAsia="Arial" w:hAnsi="Arial"/>
          <w:sz w:val="20"/>
          <w:szCs w:val="20"/>
          <w:color w:val="auto"/>
        </w:rPr>
        <w:t>This press release includes forward-looking statements within the meaning of the Private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Litigation Reform Act of 1995. All statements, other than statements of historical fact, including statements regarding the expected timing for delivery of the ACAM2000</w:t>
      </w:r>
      <w:r>
        <w:rPr>
          <w:rFonts w:ascii="Arial" w:cs="Arial" w:eastAsia="Arial" w:hAnsi="Arial"/>
          <w:sz w:val="20"/>
          <w:szCs w:val="20"/>
          <w:b w:val="1"/>
          <w:bCs w:val="1"/>
          <w:color w:val="auto"/>
        </w:rPr>
        <w:t>®</w:t>
      </w:r>
      <w:r>
        <w:rPr>
          <w:rFonts w:ascii="Arial" w:cs="Arial" w:eastAsia="Arial" w:hAnsi="Arial"/>
          <w:sz w:val="20"/>
          <w:szCs w:val="20"/>
          <w:color w:val="auto"/>
        </w:rPr>
        <w:t xml:space="preserve"> vaccine, are forward-looking statements. We generally identify forward-looking statements by using words like “anticipate,” “believe,” “continue,” “could,” “estimate,” “expect,” “forecast,” “future,” “goal,” “intend,” “may,” “plan,” “position,” “possible,” “potential,” “predict,” “project,” “should,” “target,” “will,” “would,” and similar expressions or variations thereof, or the negative thereof, but these terms are not the exclusive means of identifying such statements. Forward-looking statements are based on our current intentions, beliefs, and expectations regarding future events based on information that is currently available. We cannot guarantee that any forward-looking statement will be accurate. Readers should realize that if underlying assumptions prove inaccurate or if known or unknown risks or uncertainties materialize, actual results could differ materially from our expectations. Readers are, therefore, cautioned not to place undue reliance on any forward-looking statements. Any forward-looking statement speaks only as of the date of this press release, and, except as required by law, we do not undertake any obligation to update any forward-looking statement to reflect new information, events, or circumstances. Readers should consider this</w:t>
      </w:r>
    </w:p>
    <w:p>
      <w:pPr>
        <w:sectPr>
          <w:pgSz w:w="11900" w:h="16838" w:orient="portrait"/>
          <w:cols w:equalWidth="0" w:num="1">
            <w:col w:w="11240"/>
          </w:cols>
          <w:pgMar w:left="320" w:top="1414" w:right="33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4948555</wp:posOffset>
            </wp:positionH>
            <wp:positionV relativeFrom="page">
              <wp:posOffset>525780</wp:posOffset>
            </wp:positionV>
            <wp:extent cx="147447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62560"/>
                    </a:xfrm>
                    <a:prstGeom prst="rect">
                      <a:avLst/>
                    </a:prstGeom>
                    <a:noFill/>
                  </pic:spPr>
                </pic:pic>
              </a:graphicData>
            </a:graphic>
          </wp:anchor>
        </w:drawing>
        <w:t>cautionary statement, as well as the risk factors identified in our periodic reports filed with the U.S. Securities and Exchange Commission, when evaluating our forward-looking statements.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r>
        <w:rPr>
          <w:rFonts w:ascii="Arial" w:cs="Arial" w:eastAsia="Arial" w:hAnsi="Arial"/>
          <w:sz w:val="20"/>
          <w:szCs w:val="20"/>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Richard S. Lindahl </w:t>
      </w:r>
    </w:p>
    <w:p>
      <w:pPr>
        <w:spacing w:after="0" w:line="225" w:lineRule="auto"/>
        <w:rPr>
          <w:sz w:val="20"/>
          <w:szCs w:val="20"/>
          <w:color w:val="auto"/>
        </w:rPr>
      </w:pPr>
      <w:r>
        <w:rPr>
          <w:rFonts w:ascii="Arial" w:cs="Arial" w:eastAsia="Arial" w:hAnsi="Arial"/>
          <w:sz w:val="20"/>
          <w:szCs w:val="20"/>
          <w:color w:val="auto"/>
        </w:rPr>
        <w:t>Executive Vice President, CFO</w:t>
      </w:r>
    </w:p>
    <w:p>
      <w:pPr>
        <w:spacing w:after="0"/>
        <w:rPr>
          <w:sz w:val="20"/>
          <w:szCs w:val="20"/>
          <w:color w:val="auto"/>
        </w:rPr>
      </w:pPr>
      <w:r>
        <w:rPr>
          <w:rFonts w:ascii="Arial" w:cs="Arial" w:eastAsia="Arial" w:hAnsi="Arial"/>
          <w:sz w:val="20"/>
          <w:szCs w:val="20"/>
          <w:u w:val="single" w:color="auto"/>
          <w:color w:val="467886"/>
        </w:rPr>
        <w:t>lindahlr@ebsi.com</w:t>
      </w:r>
      <w:r>
        <w:rPr>
          <w:rFonts w:ascii="Arial" w:cs="Arial" w:eastAsia="Arial" w:hAnsi="Arial"/>
          <w:sz w:val="20"/>
          <w:szCs w:val="20"/>
          <w:color w:val="00000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-22860</wp:posOffset>
            </wp:positionV>
            <wp:extent cx="17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r>
        <w:rPr>
          <w:rFonts w:ascii="Arial" w:cs="Arial" w:eastAsia="Arial" w:hAnsi="Arial"/>
          <w:sz w:val="20"/>
          <w:szCs w:val="20"/>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Assal Hellmer </w:t>
      </w:r>
    </w:p>
    <w:p>
      <w:pPr>
        <w:spacing w:after="0" w:line="225" w:lineRule="auto"/>
        <w:rPr>
          <w:sz w:val="20"/>
          <w:szCs w:val="20"/>
          <w:color w:val="auto"/>
        </w:rPr>
      </w:pPr>
      <w:r>
        <w:rPr>
          <w:rFonts w:ascii="Arial" w:cs="Arial" w:eastAsia="Arial" w:hAnsi="Arial"/>
          <w:sz w:val="20"/>
          <w:szCs w:val="20"/>
          <w:color w:val="auto"/>
        </w:rPr>
        <w:t>Vice President, Communications</w:t>
      </w:r>
    </w:p>
    <w:p>
      <w:pPr>
        <w:spacing w:after="0"/>
        <w:rPr>
          <w:sz w:val="20"/>
          <w:szCs w:val="20"/>
          <w:color w:val="auto"/>
        </w:rPr>
      </w:pPr>
      <w:r>
        <w:rPr>
          <w:rFonts w:ascii="Arial" w:cs="Arial" w:eastAsia="Arial" w:hAnsi="Arial"/>
          <w:sz w:val="20"/>
          <w:szCs w:val="20"/>
          <w:u w:val="single" w:color="auto"/>
          <w:color w:val="467886"/>
        </w:rPr>
        <w:t>mediarelations@ebsi.com</w:t>
      </w:r>
      <w:r>
        <w:rPr>
          <w:rFonts w:ascii="Arial" w:cs="Arial" w:eastAsia="Arial" w:hAnsi="Arial"/>
          <w:sz w:val="20"/>
          <w:szCs w:val="20"/>
          <w:color w:val="00000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-22860</wp:posOffset>
            </wp:positionV>
            <wp:extent cx="17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color w:val="000000"/>
          <w:vertAlign w:val="superscript"/>
        </w:rPr>
        <w:t>1</w:t>
      </w:r>
      <w:r>
        <w:rPr>
          <w:rFonts w:ascii="Arial" w:cs="Arial" w:eastAsia="Arial" w:hAnsi="Arial"/>
          <w:sz w:val="20"/>
          <w:szCs w:val="20"/>
          <w:u w:val="single" w:color="auto"/>
          <w:color w:val="467886"/>
        </w:rPr>
        <w:t>Smallpox as a Weapon for Bioterrorism</w:t>
      </w:r>
    </w:p>
    <w:sectPr>
      <w:pgSz w:w="11900" w:h="16838" w:orient="portrait"/>
      <w:cols w:equalWidth="0" w:num="1">
        <w:col w:w="10820"/>
      </w:cols>
      <w:pgMar w:left="320" w:top="141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2026-06-29T10:41:24Z</dcterms:created>
  <dcterms:modified xsi:type="dcterms:W3CDTF">2026-06-29T10:41:24Z</dcterms:modified>
</cp:coreProperties>
</file>